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firstLine="709" w:left="0" w:right="0"/>
        <w:jc w:val="both"/>
        <w:rPr>
          <w:rFonts w:ascii="Times New Roman" w:hAnsi="Times New Roman"/>
          <w:b w:val="1"/>
          <w:sz w:val="28"/>
        </w:rPr>
      </w:pPr>
      <w:r>
        <w:rPr>
          <w:rFonts w:ascii="Times New Roman" w:hAnsi="Times New Roman"/>
          <w:b w:val="1"/>
          <w:sz w:val="28"/>
        </w:rPr>
        <w:t>Уточнен перечень преступлений, влекущих прекращение гражданства РФ в отношении лиц, ранее приобретших такое гражданство в результате приема в него</w:t>
      </w:r>
    </w:p>
    <w:p w14:paraId="02000000">
      <w:pPr>
        <w:widowControl w:val="1"/>
        <w:spacing w:after="0" w:before="0" w:line="240" w:lineRule="auto"/>
        <w:ind w:firstLine="709" w:left="0" w:right="0"/>
        <w:jc w:val="both"/>
        <w:rPr>
          <w:rFonts w:ascii="Times New Roman" w:hAnsi="Times New Roman"/>
          <w:b w:val="0"/>
          <w:sz w:val="28"/>
        </w:rPr>
      </w:pPr>
    </w:p>
    <w:p w14:paraId="0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Федеральным законом от 31.07.2025 № 316-ФЗ «О внесении изменений в статью 24 Федерального закона «О гражданстве Российской Федерации» уточнен перечень преступлений, влекущих прекращение гражданства РФ в отношении лиц, ранее приобретших такое гражданство в результате приема в него.</w:t>
      </w:r>
    </w:p>
    <w:p w14:paraId="04000000">
      <w:pPr>
        <w:widowControl w:val="1"/>
        <w:spacing w:after="0" w:before="0" w:line="240" w:lineRule="auto"/>
        <w:ind w:firstLine="709" w:left="0" w:right="0"/>
        <w:jc w:val="both"/>
        <w:rPr>
          <w:rFonts w:ascii="Times New Roman" w:hAnsi="Times New Roman"/>
          <w:b w:val="0"/>
          <w:sz w:val="28"/>
        </w:rPr>
      </w:pPr>
    </w:p>
    <w:p w14:paraId="0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Установлено, что гражданство РФ прекращается, если гражданин совершил в том числе, следующие виды преступлений (осуществил приготовление к преступлению или покушение на преступление): квалифицированные виды насильственных действий сексуального характера, публичные призывы к осуществлению террористической деятельности, публичное оправдание или пропаганда терроризма, неоднократные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организация незаконной миграции, оказание содействия в исполнении решений международных организаций, в которых РФ не участвует, или иностранных государственных органов, публичные призывы к осуществлению деятельности, направленной против безопасности государства, оказание помощи противнику в деятельности, заведомо направленной против безопасности РФ, и прочее, либо иное преступление при наличии одного из таких отягчающих обстоятельств, как: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совершение преступления в целях пропаганды, оправдания и поддержки терроризма; совершение преступления в целях пропаганды, оправдания и поддержки диверсии.</w:t>
      </w:r>
    </w:p>
    <w:p w14:paraId="06000000">
      <w:pPr>
        <w:widowControl w:val="1"/>
        <w:spacing w:after="0" w:before="0" w:line="240" w:lineRule="auto"/>
        <w:ind w:firstLine="709" w:left="0" w:right="0"/>
        <w:jc w:val="both"/>
        <w:rPr>
          <w:rFonts w:ascii="Times New Roman" w:hAnsi="Times New Roman"/>
          <w:b w:val="0"/>
          <w:sz w:val="28"/>
        </w:rPr>
      </w:pPr>
    </w:p>
    <w:p w14:paraId="07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Прокурор Курманаевского района</w:t>
      </w:r>
    </w:p>
    <w:p w14:paraId="08000000">
      <w:pPr>
        <w:widowControl w:val="1"/>
        <w:spacing w:after="0" w:before="0" w:line="240" w:lineRule="auto"/>
        <w:ind w:firstLine="0" w:left="0" w:right="0"/>
        <w:jc w:val="both"/>
        <w:rPr>
          <w:rFonts w:ascii="Times New Roman" w:hAnsi="Times New Roman"/>
          <w:b w:val="0"/>
          <w:sz w:val="28"/>
        </w:rPr>
      </w:pPr>
    </w:p>
    <w:p w14:paraId="09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советник юстиции                                                                                     Ю.Е. Кучуров</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2025-11-21T07:02:43Z</dcterms:modified>
</cp:coreProperties>
</file>